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483F3E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</w:t>
      </w:r>
      <w:r w:rsidR="00404C1C">
        <w:rPr>
          <w:rStyle w:val="SubtleEmphasis"/>
          <w:rFonts w:ascii="Arial" w:hAnsi="Arial" w:cs="Arial"/>
          <w:lang w:val="bg-BG"/>
        </w:rPr>
        <w:t>5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3F20F4">
        <w:rPr>
          <w:rStyle w:val="SubtleEmphasis"/>
          <w:rFonts w:ascii="Arial" w:hAnsi="Arial" w:cs="Arial"/>
          <w:lang w:val="bg-BG"/>
        </w:rPr>
        <w:t>02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5572CB">
        <w:rPr>
          <w:rStyle w:val="SubtleEmphasis"/>
          <w:rFonts w:ascii="Arial" w:hAnsi="Arial" w:cs="Arial"/>
          <w:lang w:val="bg-BG"/>
        </w:rPr>
        <w:t>9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3022F2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3022F2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483F3E">
        <w:rPr>
          <w:rFonts w:ascii="Arial" w:hAnsi="Arial" w:cs="Arial"/>
          <w:b/>
          <w:i/>
          <w:lang w:val="bg-BG"/>
        </w:rPr>
        <w:t>13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8158D" w:rsidRDefault="00483F3E" w:rsidP="001815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="0018158D" w:rsidRPr="0018158D">
        <w:rPr>
          <w:rFonts w:ascii="Arial" w:hAnsi="Arial" w:cs="Arial"/>
          <w:lang w:val="bg-BG"/>
        </w:rPr>
        <w:t xml:space="preserve"> е</w:t>
      </w:r>
      <w:r w:rsidR="0018158D" w:rsidRPr="0018158D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483F3E">
        <w:rPr>
          <w:rStyle w:val="Heading2Char"/>
          <w:lang w:val="bg-BG"/>
        </w:rPr>
        <w:t xml:space="preserve"> за финансовото управление и контрол в публичния сектор</w:t>
      </w:r>
      <w:r w:rsidR="0018158D" w:rsidRPr="0018158D">
        <w:rPr>
          <w:rStyle w:val="Heading2Char"/>
          <w:lang w:val="bg-BG"/>
        </w:rPr>
        <w:t xml:space="preserve">. </w:t>
      </w:r>
      <w:r w:rsidR="00F52DFB">
        <w:rPr>
          <w:rFonts w:ascii="Arial" w:hAnsi="Arial" w:cs="Arial"/>
          <w:lang w:val="bg-BG"/>
        </w:rPr>
        <w:t xml:space="preserve">В обхвата на закона се </w:t>
      </w:r>
      <w:r w:rsidR="00F52DFB" w:rsidRPr="00F52DFB">
        <w:rPr>
          <w:rFonts w:ascii="Arial" w:hAnsi="Arial" w:cs="Arial"/>
          <w:lang w:val="bg-BG"/>
        </w:rPr>
        <w:t>включват търговските дружества, включително лечебните заведения с над 50 на сто държавно и/или общинско участие в капитала, както и търговските дружества, чийто капитал е изцяло тяхна собственост.</w:t>
      </w:r>
      <w:r w:rsidR="00F52DFB">
        <w:rPr>
          <w:rFonts w:ascii="Arial" w:hAnsi="Arial" w:cs="Arial"/>
          <w:lang w:val="bg-BG"/>
        </w:rPr>
        <w:t xml:space="preserve"> Разписва се легална </w:t>
      </w:r>
      <w:r w:rsidR="00F52DFB" w:rsidRPr="00F52DFB">
        <w:rPr>
          <w:rFonts w:ascii="Arial" w:hAnsi="Arial" w:cs="Arial"/>
          <w:lang w:val="bg-BG"/>
        </w:rPr>
        <w:t>дефиниция за предварителен контрол за законосъобразност, която включва и възможните субек</w:t>
      </w:r>
      <w:r w:rsidR="00F52DFB">
        <w:rPr>
          <w:rFonts w:ascii="Arial" w:hAnsi="Arial" w:cs="Arial"/>
          <w:lang w:val="bg-BG"/>
        </w:rPr>
        <w:t xml:space="preserve">ти, извършващи този вид контрол, а </w:t>
      </w:r>
      <w:r w:rsidR="00F52DFB" w:rsidRPr="00F52DFB">
        <w:rPr>
          <w:rFonts w:ascii="Arial" w:hAnsi="Arial" w:cs="Arial"/>
          <w:lang w:val="bg-BG"/>
        </w:rPr>
        <w:t xml:space="preserve">ръководителите на организации </w:t>
      </w:r>
      <w:r w:rsidR="00F52DFB">
        <w:rPr>
          <w:rFonts w:ascii="Arial" w:hAnsi="Arial" w:cs="Arial"/>
          <w:lang w:val="bg-BG"/>
        </w:rPr>
        <w:t xml:space="preserve">се задължават </w:t>
      </w:r>
      <w:r w:rsidR="00F52DFB" w:rsidRPr="00F52DFB">
        <w:rPr>
          <w:rFonts w:ascii="Arial" w:hAnsi="Arial" w:cs="Arial"/>
          <w:lang w:val="bg-BG"/>
        </w:rPr>
        <w:t>да осигурят въвеждането и прилагането на процедури за текущ контрол върху изпълнението на поети финансови ангажименти и сключени договори</w:t>
      </w:r>
      <w:r w:rsidR="003022F2">
        <w:rPr>
          <w:rFonts w:ascii="Arial" w:hAnsi="Arial" w:cs="Arial"/>
          <w:lang w:val="bg-BG"/>
        </w:rPr>
        <w:t>.</w:t>
      </w:r>
    </w:p>
    <w:p w:rsidR="00483F3E" w:rsidRDefault="00483F3E" w:rsidP="001815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 и допълнен</w:t>
      </w:r>
      <w:r w:rsidRPr="0018158D">
        <w:rPr>
          <w:rFonts w:ascii="Arial" w:hAnsi="Arial" w:cs="Arial"/>
          <w:lang w:val="bg-BG"/>
        </w:rPr>
        <w:t xml:space="preserve"> е</w:t>
      </w:r>
      <w:r w:rsidRPr="0018158D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483F3E">
        <w:rPr>
          <w:rStyle w:val="Heading2Char"/>
          <w:lang w:val="bg-BG"/>
        </w:rPr>
        <w:t xml:space="preserve"> за административното регулиране на икономическите дейности, свързани с нефт и продукти от нефтен произход</w:t>
      </w:r>
      <w:r w:rsidRPr="0018158D">
        <w:rPr>
          <w:rStyle w:val="Heading2Char"/>
          <w:lang w:val="bg-BG"/>
        </w:rPr>
        <w:t xml:space="preserve">. </w:t>
      </w:r>
      <w:r w:rsidR="004F2F6A">
        <w:rPr>
          <w:rFonts w:ascii="Arial" w:hAnsi="Arial" w:cs="Arial"/>
          <w:lang w:val="bg-BG"/>
        </w:rPr>
        <w:t xml:space="preserve">Променят се правилата относно </w:t>
      </w:r>
      <w:r w:rsidR="004F2F6A" w:rsidRPr="004F2F6A">
        <w:rPr>
          <w:rFonts w:ascii="Arial" w:hAnsi="Arial" w:cs="Arial"/>
          <w:lang w:val="bg-BG"/>
        </w:rPr>
        <w:t>извършването на зареждане с нефт и продукти от нефтен произход на пътни превозни средства или извънпътна техника или механизация на трети лица</w:t>
      </w:r>
      <w:r w:rsidR="004F2F6A">
        <w:rPr>
          <w:rFonts w:ascii="Arial" w:hAnsi="Arial" w:cs="Arial"/>
          <w:lang w:val="bg-BG"/>
        </w:rPr>
        <w:t>, като водачите ще могат да зареждат гориво само на регистрирани бензиностанции</w:t>
      </w:r>
      <w:r w:rsidR="004F2F6A" w:rsidRPr="004F2F6A">
        <w:rPr>
          <w:rFonts w:ascii="Arial" w:hAnsi="Arial" w:cs="Arial"/>
          <w:lang w:val="bg-BG"/>
        </w:rPr>
        <w:t>.</w:t>
      </w:r>
    </w:p>
    <w:p w:rsidR="00483F3E" w:rsidRDefault="00483F3E" w:rsidP="001815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18158D">
        <w:rPr>
          <w:rFonts w:ascii="Arial" w:hAnsi="Arial" w:cs="Arial"/>
          <w:lang w:val="bg-BG"/>
        </w:rPr>
        <w:t xml:space="preserve"> е</w:t>
      </w:r>
      <w:r w:rsidRPr="0018158D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483F3E">
        <w:rPr>
          <w:rStyle w:val="Heading2Char"/>
          <w:lang w:val="bg-BG"/>
        </w:rPr>
        <w:t xml:space="preserve"> за животновъдството</w:t>
      </w:r>
      <w:r w:rsidRPr="0018158D">
        <w:rPr>
          <w:rStyle w:val="Heading2Char"/>
          <w:lang w:val="bg-BG"/>
        </w:rPr>
        <w:t xml:space="preserve">. </w:t>
      </w:r>
      <w:r w:rsidR="006B0770" w:rsidRPr="006B0770">
        <w:rPr>
          <w:rFonts w:ascii="Arial" w:hAnsi="Arial" w:cs="Arial"/>
          <w:lang w:val="bg-BG"/>
        </w:rPr>
        <w:t xml:space="preserve">Разрешение за извършване на развъдна дейност </w:t>
      </w:r>
      <w:r w:rsidR="003017F8">
        <w:rPr>
          <w:rFonts w:ascii="Arial" w:hAnsi="Arial" w:cs="Arial"/>
          <w:lang w:val="bg-BG"/>
        </w:rPr>
        <w:t>ще</w:t>
      </w:r>
      <w:r w:rsidR="006B0770" w:rsidRPr="006B0770">
        <w:rPr>
          <w:rFonts w:ascii="Arial" w:hAnsi="Arial" w:cs="Arial"/>
          <w:lang w:val="bg-BG"/>
        </w:rPr>
        <w:t xml:space="preserve"> се издава на организации, които са признати за развъдни и имат одобрена развъдна програма. </w:t>
      </w:r>
      <w:r w:rsidR="003017F8" w:rsidRPr="006B0770">
        <w:rPr>
          <w:rFonts w:ascii="Arial" w:hAnsi="Arial" w:cs="Arial"/>
          <w:lang w:val="bg-BG"/>
        </w:rPr>
        <w:t>Развъдната организация</w:t>
      </w:r>
      <w:r w:rsidR="003017F8">
        <w:rPr>
          <w:rFonts w:ascii="Arial" w:hAnsi="Arial" w:cs="Arial"/>
          <w:lang w:val="bg-BG"/>
        </w:rPr>
        <w:t xml:space="preserve"> ще може да подава</w:t>
      </w:r>
      <w:r w:rsidR="006B0770" w:rsidRPr="006B0770">
        <w:rPr>
          <w:rFonts w:ascii="Arial" w:hAnsi="Arial" w:cs="Arial"/>
          <w:lang w:val="bg-BG"/>
        </w:rPr>
        <w:t xml:space="preserve"> е</w:t>
      </w:r>
      <w:r w:rsidR="003017F8">
        <w:rPr>
          <w:rFonts w:ascii="Arial" w:hAnsi="Arial" w:cs="Arial"/>
          <w:lang w:val="bg-BG"/>
        </w:rPr>
        <w:t xml:space="preserve">дно общо заявление за признаването ѝ </w:t>
      </w:r>
      <w:r w:rsidR="006B0770" w:rsidRPr="006B0770">
        <w:rPr>
          <w:rFonts w:ascii="Arial" w:hAnsi="Arial" w:cs="Arial"/>
          <w:lang w:val="bg-BG"/>
        </w:rPr>
        <w:t xml:space="preserve">за развъдна и за одобряване на развъдната програма, в резултат на което се издава разрешение за извършване на развъдна дейност. </w:t>
      </w:r>
      <w:r w:rsidR="003017F8">
        <w:rPr>
          <w:rFonts w:ascii="Arial" w:hAnsi="Arial" w:cs="Arial"/>
          <w:lang w:val="bg-BG"/>
        </w:rPr>
        <w:t xml:space="preserve">След подаване на заявлението </w:t>
      </w:r>
      <w:r w:rsidR="003017F8" w:rsidRPr="003017F8">
        <w:rPr>
          <w:rFonts w:ascii="Arial" w:hAnsi="Arial" w:cs="Arial"/>
          <w:lang w:val="bg-BG"/>
        </w:rPr>
        <w:t>Изпълнителната аген</w:t>
      </w:r>
      <w:r w:rsidR="003017F8">
        <w:rPr>
          <w:rFonts w:ascii="Arial" w:hAnsi="Arial" w:cs="Arial"/>
          <w:lang w:val="bg-BG"/>
        </w:rPr>
        <w:t xml:space="preserve">ция по селекция и репродукция следва да извърши </w:t>
      </w:r>
      <w:r w:rsidR="003017F8" w:rsidRPr="003017F8">
        <w:rPr>
          <w:rFonts w:ascii="Arial" w:hAnsi="Arial" w:cs="Arial"/>
          <w:lang w:val="bg-BG"/>
        </w:rPr>
        <w:t>задължителна, пре</w:t>
      </w:r>
      <w:r w:rsidR="003017F8">
        <w:rPr>
          <w:rFonts w:ascii="Arial" w:hAnsi="Arial" w:cs="Arial"/>
          <w:lang w:val="bg-BG"/>
        </w:rPr>
        <w:t xml:space="preserve">дварителна проверка на място. </w:t>
      </w:r>
      <w:r w:rsidR="003017F8" w:rsidRPr="003017F8">
        <w:rPr>
          <w:rFonts w:ascii="Arial" w:hAnsi="Arial" w:cs="Arial"/>
          <w:lang w:val="bg-BG"/>
        </w:rPr>
        <w:t>Въвежда</w:t>
      </w:r>
      <w:r w:rsidR="003017F8">
        <w:rPr>
          <w:rFonts w:ascii="Arial" w:hAnsi="Arial" w:cs="Arial"/>
          <w:lang w:val="bg-BG"/>
        </w:rPr>
        <w:t xml:space="preserve"> се </w:t>
      </w:r>
      <w:r w:rsidR="003017F8" w:rsidRPr="003017F8">
        <w:rPr>
          <w:rFonts w:ascii="Arial" w:hAnsi="Arial" w:cs="Arial"/>
          <w:lang w:val="bg-BG"/>
        </w:rPr>
        <w:t xml:space="preserve">възможност за ограничаване обхвата на разрешението за извършване на развъдна дейност на организацията при констатирани нарушения, когато тази организация осъществява селекция и репродукция със селскостопански животни с повече от една порода. </w:t>
      </w:r>
      <w:r w:rsidR="003017F8" w:rsidRPr="006B0770">
        <w:rPr>
          <w:rFonts w:ascii="Arial" w:hAnsi="Arial" w:cs="Arial"/>
          <w:lang w:val="bg-BG"/>
        </w:rPr>
        <w:t xml:space="preserve">Премахнато </w:t>
      </w:r>
      <w:r w:rsidR="003017F8">
        <w:rPr>
          <w:rFonts w:ascii="Arial" w:hAnsi="Arial" w:cs="Arial"/>
          <w:lang w:val="bg-BG"/>
        </w:rPr>
        <w:t>е</w:t>
      </w:r>
      <w:r w:rsidR="006B0770" w:rsidRPr="006B0770">
        <w:rPr>
          <w:rFonts w:ascii="Arial" w:hAnsi="Arial" w:cs="Arial"/>
          <w:lang w:val="bg-BG"/>
        </w:rPr>
        <w:t xml:space="preserve"> изискването за представяне на някои официални удостоверителни документи на хартиен носител, като тези документи ще се проверяват по служебен път.</w:t>
      </w:r>
    </w:p>
    <w:p w:rsidR="00483F3E" w:rsidRPr="0018158D" w:rsidRDefault="00483F3E" w:rsidP="001815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18158D">
        <w:rPr>
          <w:rFonts w:ascii="Arial" w:hAnsi="Arial" w:cs="Arial"/>
          <w:lang w:val="bg-BG"/>
        </w:rPr>
        <w:t xml:space="preserve"> е</w:t>
      </w:r>
      <w:r w:rsidRPr="0018158D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483F3E">
        <w:rPr>
          <w:rStyle w:val="Heading2Char"/>
          <w:lang w:val="bg-BG"/>
        </w:rPr>
        <w:t xml:space="preserve"> за лечебните заведения</w:t>
      </w:r>
      <w:r w:rsidRPr="0018158D">
        <w:rPr>
          <w:rStyle w:val="Heading2Char"/>
          <w:lang w:val="bg-BG"/>
        </w:rPr>
        <w:t xml:space="preserve">. </w:t>
      </w:r>
      <w:r w:rsidR="00220C50">
        <w:rPr>
          <w:rFonts w:ascii="Arial" w:hAnsi="Arial" w:cs="Arial"/>
          <w:lang w:val="bg-BG"/>
        </w:rPr>
        <w:t xml:space="preserve">С промените се дава </w:t>
      </w:r>
      <w:r w:rsidR="00220C50" w:rsidRPr="00220C50">
        <w:rPr>
          <w:rFonts w:ascii="Arial" w:hAnsi="Arial" w:cs="Arial"/>
          <w:lang w:val="bg-BG"/>
        </w:rPr>
        <w:t xml:space="preserve">възможност </w:t>
      </w:r>
      <w:r w:rsidR="00220C50">
        <w:rPr>
          <w:rFonts w:ascii="Arial" w:hAnsi="Arial" w:cs="Arial"/>
          <w:lang w:val="bg-BG"/>
        </w:rPr>
        <w:t>н</w:t>
      </w:r>
      <w:r w:rsidR="00220C50" w:rsidRPr="00220C50">
        <w:rPr>
          <w:rFonts w:ascii="Arial" w:hAnsi="Arial" w:cs="Arial"/>
          <w:lang w:val="bg-BG"/>
        </w:rPr>
        <w:t>а пр</w:t>
      </w:r>
      <w:r w:rsidR="00220C50">
        <w:rPr>
          <w:rFonts w:ascii="Arial" w:hAnsi="Arial" w:cs="Arial"/>
          <w:lang w:val="bg-BG"/>
        </w:rPr>
        <w:t xml:space="preserve">авителството да взема решения </w:t>
      </w:r>
      <w:r w:rsidR="00220C50" w:rsidRPr="00220C50">
        <w:rPr>
          <w:rFonts w:ascii="Arial" w:hAnsi="Arial" w:cs="Arial"/>
          <w:lang w:val="bg-BG"/>
        </w:rPr>
        <w:t>по отношение статута на болница "Лозенец", превръщайки я в първото многопрофилно лечебно заведение за болнична помощ, осигуряващо комплексно лечение на деца.</w:t>
      </w:r>
    </w:p>
    <w:p w:rsidR="00086399" w:rsidRDefault="003F20F4" w:rsidP="00331EC4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086399" w:rsidRPr="00086399">
        <w:rPr>
          <w:rFonts w:ascii="Arial" w:hAnsi="Arial" w:cs="Arial"/>
          <w:lang w:val="bg-BG"/>
        </w:rPr>
        <w:t xml:space="preserve"> е</w:t>
      </w:r>
      <w:r w:rsidR="00086399" w:rsidRPr="00086399">
        <w:rPr>
          <w:rStyle w:val="Heading2Char"/>
          <w:lang w:val="bg-BG"/>
        </w:rPr>
        <w:t xml:space="preserve"> </w:t>
      </w:r>
      <w:r w:rsidR="00483F3E" w:rsidRPr="00483F3E">
        <w:rPr>
          <w:rStyle w:val="Heading2Char"/>
          <w:lang w:val="bg-BG"/>
        </w:rPr>
        <w:t>Постановление № 24 от 7 февруари 2019 г</w:t>
      </w:r>
      <w:r w:rsidR="00483F3E">
        <w:rPr>
          <w:rStyle w:val="Heading2Char"/>
          <w:lang w:val="bg-BG"/>
        </w:rPr>
        <w:t>.</w:t>
      </w:r>
      <w:r w:rsidR="00483F3E" w:rsidRPr="00483F3E">
        <w:rPr>
          <w:rStyle w:val="Heading2Char"/>
          <w:lang w:val="bg-BG"/>
        </w:rPr>
        <w:t xml:space="preserve"> </w:t>
      </w:r>
      <w:r w:rsidR="00331EC4" w:rsidRPr="00331EC4">
        <w:rPr>
          <w:rFonts w:ascii="Arial" w:hAnsi="Arial" w:cs="Arial"/>
          <w:lang w:val="bg-BG"/>
        </w:rPr>
        <w:t>Правителството одобри допълнителни разходи по бюджета на Държавната комисия по сигурността на информацията за 2019 г. в размер на 2 850 000 лв.</w:t>
      </w:r>
      <w:r w:rsidR="00331EC4">
        <w:rPr>
          <w:rFonts w:ascii="Arial" w:hAnsi="Arial" w:cs="Arial"/>
          <w:lang w:val="bg-BG"/>
        </w:rPr>
        <w:t xml:space="preserve">, </w:t>
      </w:r>
      <w:r w:rsidR="00331EC4" w:rsidRPr="00331EC4">
        <w:rPr>
          <w:rFonts w:ascii="Arial" w:hAnsi="Arial" w:cs="Arial"/>
          <w:lang w:val="bg-BG"/>
        </w:rPr>
        <w:t xml:space="preserve">необходими за извършване на дейности по изграждане на охраняем периметър, вътрешно преустройство на помещения и надграждане на структурно-кабелните системи и специалните системи за сигурност за недвижим имот, закупен в полза на държавата за нуждите на </w:t>
      </w:r>
      <w:r w:rsidR="00331EC4">
        <w:rPr>
          <w:rFonts w:ascii="Arial" w:hAnsi="Arial" w:cs="Arial"/>
          <w:lang w:val="bg-BG"/>
        </w:rPr>
        <w:t>ДКСИ и на нейната администрация</w:t>
      </w:r>
      <w:r w:rsidR="00331EC4" w:rsidRPr="00331EC4">
        <w:rPr>
          <w:rFonts w:ascii="Arial" w:hAnsi="Arial" w:cs="Arial"/>
          <w:lang w:val="bg-BG"/>
        </w:rPr>
        <w:t>.</w:t>
      </w:r>
    </w:p>
    <w:p w:rsidR="003F20F4" w:rsidRDefault="00483F3E" w:rsidP="0018158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Изменено</w:t>
      </w:r>
      <w:r w:rsidR="003F20F4" w:rsidRPr="00086399">
        <w:rPr>
          <w:rFonts w:ascii="Arial" w:hAnsi="Arial" w:cs="Arial"/>
          <w:lang w:val="bg-BG"/>
        </w:rPr>
        <w:t xml:space="preserve"> е</w:t>
      </w:r>
      <w:r w:rsidR="003F20F4" w:rsidRPr="00086399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>Постановление № 65 н</w:t>
      </w:r>
      <w:r>
        <w:rPr>
          <w:rStyle w:val="Heading2Char"/>
          <w:lang w:val="bg-BG"/>
        </w:rPr>
        <w:t>а Министерския съвет от 2016 г.</w:t>
      </w:r>
      <w:r w:rsidR="003F20F4" w:rsidRPr="004F611D">
        <w:rPr>
          <w:rStyle w:val="Heading2Char"/>
          <w:lang w:val="bg-BG"/>
        </w:rPr>
        <w:t xml:space="preserve"> </w:t>
      </w:r>
      <w:r w:rsidR="00331EC4">
        <w:rPr>
          <w:rFonts w:ascii="Arial" w:hAnsi="Arial" w:cs="Arial"/>
          <w:lang w:val="bg-BG"/>
        </w:rPr>
        <w:t xml:space="preserve">Актуализират се размерите </w:t>
      </w:r>
      <w:r w:rsidR="00331EC4" w:rsidRPr="00331EC4">
        <w:rPr>
          <w:rFonts w:ascii="Arial" w:hAnsi="Arial" w:cs="Arial"/>
          <w:lang w:val="bg-BG"/>
        </w:rPr>
        <w:t>на основното месечно възнаграждение в съответствие с присвоеното звание на офицерите и сержантите от Националната служба за охрана</w:t>
      </w:r>
      <w:r w:rsidR="00331EC4">
        <w:rPr>
          <w:rFonts w:ascii="Arial" w:hAnsi="Arial" w:cs="Arial"/>
          <w:lang w:val="bg-BG"/>
        </w:rPr>
        <w:t>.</w:t>
      </w:r>
      <w:r w:rsidR="00331EC4" w:rsidRPr="00331EC4">
        <w:rPr>
          <w:lang w:val="bg-BG"/>
        </w:rPr>
        <w:t xml:space="preserve"> </w:t>
      </w:r>
      <w:r w:rsidR="00331EC4" w:rsidRPr="00331EC4">
        <w:rPr>
          <w:rFonts w:ascii="Arial" w:hAnsi="Arial" w:cs="Arial"/>
          <w:lang w:val="bg-BG"/>
        </w:rPr>
        <w:t>Размерът на възнаграждението се определя в съответствие с базата, определена в Закона за държавния бюджет на Република България за съответната година.</w:t>
      </w:r>
    </w:p>
    <w:p w:rsidR="002F55EA" w:rsidRDefault="00594480" w:rsidP="0059448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483F3E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83F3E" w:rsidRPr="00483F3E">
        <w:rPr>
          <w:rStyle w:val="Heading2Char"/>
          <w:lang w:val="bg-BG"/>
        </w:rPr>
        <w:t>Наредба № 1 от 2 февруари 2019 г.</w:t>
      </w:r>
      <w:r>
        <w:rPr>
          <w:rFonts w:ascii="Arial" w:hAnsi="Arial" w:cs="Arial"/>
          <w:lang w:val="bg-BG"/>
        </w:rPr>
        <w:t xml:space="preserve"> </w:t>
      </w:r>
      <w:r w:rsidR="00723A7F">
        <w:rPr>
          <w:rFonts w:ascii="Arial" w:hAnsi="Arial" w:cs="Arial"/>
          <w:lang w:val="bg-BG"/>
        </w:rPr>
        <w:t xml:space="preserve">Тя урежда реда за назначаване и разпределение на стажант-юристите, реквизитите на издадената им стажантска книжка, документите, критериите, стандартите, етапите и предметния обхват на стажантските програми, както и реда за </w:t>
      </w:r>
      <w:r w:rsidR="009973CA">
        <w:rPr>
          <w:rFonts w:ascii="Arial" w:hAnsi="Arial" w:cs="Arial"/>
          <w:lang w:val="bg-BG"/>
        </w:rPr>
        <w:t>осъществяване на контрол за изпълнението на стажантските програми, за провеждане на изпита за придобиване на юридическа правоспособност и за поддържане на публичен регистър на лицата, придобили юридическа правоспособност.</w:t>
      </w:r>
    </w:p>
    <w:p w:rsidR="00483F3E" w:rsidRPr="00594480" w:rsidRDefault="00483F3E" w:rsidP="0059448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83F3E">
        <w:rPr>
          <w:rStyle w:val="Heading2Char"/>
          <w:lang w:val="bg-BG"/>
        </w:rPr>
        <w:t xml:space="preserve">Наредба № 1 от </w:t>
      </w:r>
      <w:r>
        <w:rPr>
          <w:rStyle w:val="Heading2Char"/>
          <w:lang w:val="bg-BG"/>
        </w:rPr>
        <w:t>4</w:t>
      </w:r>
      <w:r w:rsidRPr="00483F3E">
        <w:rPr>
          <w:rStyle w:val="Heading2Char"/>
          <w:lang w:val="bg-BG"/>
        </w:rPr>
        <w:t xml:space="preserve"> февруари 2019 г.</w:t>
      </w:r>
      <w:r>
        <w:rPr>
          <w:rFonts w:ascii="Arial" w:hAnsi="Arial" w:cs="Arial"/>
          <w:lang w:val="bg-BG"/>
        </w:rPr>
        <w:t xml:space="preserve"> </w:t>
      </w:r>
      <w:r w:rsidR="00956875">
        <w:rPr>
          <w:rFonts w:ascii="Arial" w:hAnsi="Arial" w:cs="Arial"/>
          <w:lang w:val="bg-BG"/>
        </w:rPr>
        <w:t xml:space="preserve">С нея </w:t>
      </w:r>
      <w:r w:rsidR="00956875" w:rsidRPr="00956875">
        <w:rPr>
          <w:rFonts w:ascii="Arial" w:hAnsi="Arial" w:cs="Arial"/>
          <w:lang w:val="bg-BG"/>
        </w:rPr>
        <w:t>се определят изискванията за заемане на длъжности, както и условията и реда за вписването на треньорските кадри в регистъра</w:t>
      </w:r>
      <w:r w:rsidR="00956875">
        <w:rPr>
          <w:rFonts w:ascii="Arial" w:hAnsi="Arial" w:cs="Arial"/>
          <w:lang w:val="bg-BG"/>
        </w:rPr>
        <w:t>, воден от министъра на младежта и спорта.</w:t>
      </w:r>
      <w:r w:rsidR="00956875" w:rsidRPr="00956875">
        <w:rPr>
          <w:lang w:val="bg-BG"/>
        </w:rPr>
        <w:t xml:space="preserve"> </w:t>
      </w:r>
      <w:r w:rsidR="00956875" w:rsidRPr="00956875">
        <w:rPr>
          <w:rFonts w:ascii="Arial" w:hAnsi="Arial" w:cs="Arial"/>
          <w:lang w:val="bg-BG"/>
        </w:rPr>
        <w:t>Треньорски кадри са лицата, които извършват обучение и тренировъчна дейност в системата на физическата активност, физическото възпитание, спорта и спортно-туристическата дейност, както и лицата, които предоставят треньорски услуги.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3F20F4">
        <w:rPr>
          <w:rFonts w:ascii="Arial" w:hAnsi="Arial" w:cs="Arial"/>
          <w:b/>
          <w:i/>
          <w:lang w:val="bg-BG"/>
        </w:rPr>
        <w:t>1</w:t>
      </w:r>
      <w:r w:rsidR="00483F3E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572CB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42777" w:rsidRPr="00D42777" w:rsidRDefault="00404C1C" w:rsidP="00D427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D42777" w:rsidRPr="00D42777">
        <w:rPr>
          <w:rFonts w:ascii="Arial" w:hAnsi="Arial" w:cs="Arial"/>
          <w:lang w:val="bg-BG"/>
        </w:rPr>
        <w:t xml:space="preserve"> е</w:t>
      </w:r>
      <w:r w:rsidR="00D42777" w:rsidRPr="00D42777">
        <w:rPr>
          <w:rStyle w:val="Heading2Char"/>
          <w:lang w:val="bg-BG"/>
        </w:rPr>
        <w:t xml:space="preserve"> </w:t>
      </w:r>
      <w:r w:rsidRPr="00404C1C">
        <w:rPr>
          <w:rStyle w:val="Heading2Char"/>
          <w:lang w:val="bg-BG"/>
        </w:rPr>
        <w:t xml:space="preserve">Наредба № 2 от 4 февруари 2019 г. </w:t>
      </w:r>
      <w:r>
        <w:rPr>
          <w:rFonts w:ascii="Arial" w:hAnsi="Arial" w:cs="Arial"/>
          <w:lang w:val="bg-BG"/>
        </w:rPr>
        <w:t>С нея се определя държавният образователен стандарт за придобиването на квалификация по професията "Техник на енергийни съоръжения и инсталации" от област на образование "Техника" и професионално направление "Електротехника и енергетика", съгласно Списъка на професиите за професионално образование и обучение. Техникът на енергийни съоръжения и инсталации може да работи в предприятия с предмет на дейност електро- и топлопроизводство, битово газифициране, отопление, климатизация и вентилация, хладилна техника, използващи енергопреобразуващи технологии с първичен енергоносител, конвенционални, ядрени и възобновяеми енергийни източници.</w:t>
      </w:r>
    </w:p>
    <w:p w:rsidR="00DA6E45" w:rsidRPr="007827A7" w:rsidRDefault="003A7B52" w:rsidP="00F53EE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404C1C">
        <w:rPr>
          <w:rFonts w:ascii="Arial" w:hAnsi="Arial" w:cs="Arial"/>
          <w:lang w:val="bg-BG"/>
        </w:rPr>
        <w:t>а</w:t>
      </w:r>
      <w:r w:rsidR="00B0133D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и допълнен</w:t>
      </w:r>
      <w:r w:rsidR="00404C1C">
        <w:rPr>
          <w:rFonts w:ascii="Arial" w:hAnsi="Arial" w:cs="Arial"/>
          <w:lang w:val="bg-BG"/>
        </w:rPr>
        <w:t>а</w:t>
      </w:r>
      <w:r w:rsidR="00DA6E45">
        <w:rPr>
          <w:rFonts w:ascii="Arial" w:hAnsi="Arial" w:cs="Arial"/>
          <w:lang w:val="bg-BG"/>
        </w:rPr>
        <w:t xml:space="preserve"> </w:t>
      </w:r>
      <w:r w:rsidR="00DA6E45" w:rsidRPr="006A5456">
        <w:rPr>
          <w:rFonts w:ascii="Arial" w:hAnsi="Arial" w:cs="Arial"/>
          <w:lang w:val="bg-BG"/>
        </w:rPr>
        <w:t>е</w:t>
      </w:r>
      <w:r w:rsidR="00DA6E45" w:rsidRPr="008A42E1">
        <w:rPr>
          <w:rStyle w:val="Heading2Char"/>
          <w:lang w:val="bg-BG"/>
        </w:rPr>
        <w:t xml:space="preserve"> </w:t>
      </w:r>
      <w:r w:rsidR="00404C1C">
        <w:rPr>
          <w:rStyle w:val="Heading2Char"/>
          <w:lang w:val="bg-BG"/>
        </w:rPr>
        <w:t>Наредба № 3 от 1999 г.</w:t>
      </w:r>
      <w:r w:rsidR="006A524D" w:rsidRPr="006A524D">
        <w:rPr>
          <w:rStyle w:val="Heading2Char"/>
          <w:lang w:val="bg-BG"/>
        </w:rPr>
        <w:t xml:space="preserve"> </w:t>
      </w:r>
      <w:r w:rsidR="0004091E" w:rsidRPr="0004091E">
        <w:rPr>
          <w:rFonts w:ascii="Arial" w:hAnsi="Arial" w:cs="Arial"/>
          <w:lang w:val="bg-BG"/>
        </w:rPr>
        <w:t xml:space="preserve">Кандидатите, които заявяват отглеждането на растения от рода на конопа за производство на семена, предназначени за фураж, </w:t>
      </w:r>
      <w:r w:rsidR="0004091E">
        <w:rPr>
          <w:rFonts w:ascii="Arial" w:hAnsi="Arial" w:cs="Arial"/>
          <w:lang w:val="bg-BG"/>
        </w:rPr>
        <w:t xml:space="preserve">ще </w:t>
      </w:r>
      <w:r w:rsidR="0004091E" w:rsidRPr="0004091E">
        <w:rPr>
          <w:rFonts w:ascii="Arial" w:hAnsi="Arial" w:cs="Arial"/>
          <w:lang w:val="bg-BG"/>
        </w:rPr>
        <w:t>са длъжни при регистрацията си като земеделски стопани да подадат и декларация за извършване на дейности с първични фуражи</w:t>
      </w:r>
      <w:r w:rsidR="0004091E">
        <w:rPr>
          <w:rFonts w:ascii="Arial" w:hAnsi="Arial" w:cs="Arial"/>
          <w:lang w:val="bg-BG"/>
        </w:rPr>
        <w:t>.</w:t>
      </w:r>
      <w:r w:rsidR="0004091E" w:rsidRPr="0004091E">
        <w:rPr>
          <w:lang w:val="bg-BG"/>
        </w:rPr>
        <w:t xml:space="preserve"> </w:t>
      </w:r>
      <w:r w:rsidR="0004091E" w:rsidRPr="0004091E">
        <w:rPr>
          <w:rFonts w:ascii="Arial" w:hAnsi="Arial" w:cs="Arial"/>
          <w:lang w:val="bg-BG"/>
        </w:rPr>
        <w:t>Към момента, при отглеждането на коноп за производство на семена за фураж в Анкетния формуляр на земеделския стопанин, пл</w:t>
      </w:r>
      <w:r w:rsidR="0004091E">
        <w:rPr>
          <w:rFonts w:ascii="Arial" w:hAnsi="Arial" w:cs="Arial"/>
          <w:lang w:val="bg-BG"/>
        </w:rPr>
        <w:t>ощта се вписва в позиция с код "</w:t>
      </w:r>
      <w:r w:rsidR="0004091E" w:rsidRPr="0004091E">
        <w:rPr>
          <w:rFonts w:ascii="Arial" w:hAnsi="Arial" w:cs="Arial"/>
          <w:lang w:val="bg-BG"/>
        </w:rPr>
        <w:t>Други фуражни</w:t>
      </w:r>
      <w:r w:rsidR="0004091E">
        <w:rPr>
          <w:rFonts w:ascii="Arial" w:hAnsi="Arial" w:cs="Arial"/>
          <w:lang w:val="bg-BG"/>
        </w:rPr>
        <w:t>"</w:t>
      </w:r>
      <w:r w:rsidR="0004091E" w:rsidRPr="0004091E">
        <w:rPr>
          <w:rFonts w:ascii="Arial" w:hAnsi="Arial" w:cs="Arial"/>
          <w:lang w:val="bg-BG"/>
        </w:rPr>
        <w:t xml:space="preserve"> и съответно в декларацията за фуражи</w:t>
      </w:r>
      <w:r w:rsidR="0004091E">
        <w:rPr>
          <w:rFonts w:ascii="Arial" w:hAnsi="Arial" w:cs="Arial"/>
          <w:lang w:val="bg-BG"/>
        </w:rPr>
        <w:t>те се отбелязва групата фуражи "Други"</w:t>
      </w:r>
      <w:r w:rsidR="0004091E" w:rsidRPr="0004091E">
        <w:rPr>
          <w:rFonts w:ascii="Arial" w:hAnsi="Arial" w:cs="Arial"/>
          <w:lang w:val="bg-BG"/>
        </w:rPr>
        <w:t>, към която е тази позиция. Тъй като в тази позиция се посочват много други фуражни култури, на практика не може да се осъществи проследимост на този вид фураж: коноп за производство на семена за фураж.</w:t>
      </w:r>
    </w:p>
    <w:p w:rsidR="00D42777" w:rsidRDefault="00D42777" w:rsidP="00D427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404C1C" w:rsidRPr="00404C1C">
        <w:rPr>
          <w:rStyle w:val="Heading2Char"/>
          <w:lang w:val="bg-BG"/>
        </w:rPr>
        <w:t>Споразумение между Република България и Алжирската демократична и народна република за взаимно освобождаване от изискванията за притежаване на визи за краткосрочно пребиваване на притежателите на дипломатически и служебни паспорти</w:t>
      </w:r>
      <w:r w:rsidRPr="001F3D26">
        <w:rPr>
          <w:rStyle w:val="Heading2Char"/>
          <w:lang w:val="bg-BG"/>
        </w:rPr>
        <w:t xml:space="preserve">. </w:t>
      </w:r>
      <w:r w:rsidR="00A667D6" w:rsidRPr="00A667D6">
        <w:rPr>
          <w:rFonts w:ascii="Arial" w:hAnsi="Arial" w:cs="Arial"/>
          <w:lang w:val="bg-BG"/>
        </w:rPr>
        <w:t>На реципрочна основа българските и алжирските граждани с дипломатически и служебни паспорти, пребиваващи в другата страна за период до 90 дни, ще бъдат освободени от изискването за краткосрочна виза</w:t>
      </w:r>
      <w:r w:rsidR="00A667D6">
        <w:rPr>
          <w:rFonts w:ascii="Arial" w:hAnsi="Arial" w:cs="Arial"/>
          <w:lang w:val="bg-BG"/>
        </w:rPr>
        <w:t>.</w:t>
      </w:r>
    </w:p>
    <w:p w:rsidR="00FA16DE" w:rsidRDefault="00404C1C" w:rsidP="00E604B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3A7B52">
        <w:rPr>
          <w:rFonts w:ascii="Arial" w:hAnsi="Arial" w:cs="Arial"/>
          <w:lang w:val="bg-BG"/>
        </w:rPr>
        <w:t xml:space="preserve"> е</w:t>
      </w:r>
      <w:r w:rsidR="003A7B52" w:rsidRPr="008A42E1">
        <w:rPr>
          <w:rStyle w:val="Heading2Char"/>
          <w:lang w:val="bg-BG"/>
        </w:rPr>
        <w:t xml:space="preserve"> </w:t>
      </w:r>
      <w:r w:rsidRPr="00404C1C">
        <w:rPr>
          <w:rStyle w:val="Heading2Char"/>
          <w:lang w:val="bg-BG"/>
        </w:rPr>
        <w:t>План за сътрудничество между Министерството на здравеопазването на Република България и Министерството на здравеопазването на Република Македония за периода 2019 - 2021 г.</w:t>
      </w:r>
      <w:r w:rsidR="001F3D26">
        <w:rPr>
          <w:rFonts w:ascii="Arial" w:hAnsi="Arial" w:cs="Arial"/>
          <w:lang w:val="bg-BG"/>
        </w:rPr>
        <w:t xml:space="preserve"> </w:t>
      </w:r>
      <w:r w:rsidR="00E604BE">
        <w:rPr>
          <w:rFonts w:ascii="Arial" w:hAnsi="Arial" w:cs="Arial"/>
          <w:lang w:val="bg-BG"/>
        </w:rPr>
        <w:t xml:space="preserve">С документа </w:t>
      </w:r>
      <w:r w:rsidR="00E604BE" w:rsidRPr="00E604BE">
        <w:rPr>
          <w:rFonts w:ascii="Arial" w:hAnsi="Arial" w:cs="Arial"/>
          <w:lang w:val="bg-BG"/>
        </w:rPr>
        <w:t>се договорят конкретните области на сътрудничество между двете ведомства за период от три години, целите, очакваните резултати и мерките за постигането им.</w:t>
      </w:r>
      <w:r w:rsidR="00E604BE">
        <w:rPr>
          <w:rFonts w:ascii="Arial" w:hAnsi="Arial" w:cs="Arial"/>
          <w:lang w:val="bg-BG"/>
        </w:rPr>
        <w:t xml:space="preserve"> </w:t>
      </w:r>
      <w:r w:rsidR="00E604BE" w:rsidRPr="00E604BE">
        <w:rPr>
          <w:rFonts w:ascii="Arial" w:hAnsi="Arial" w:cs="Arial"/>
          <w:lang w:val="bg-BG"/>
        </w:rPr>
        <w:t>Прякото сътрудничество обхва</w:t>
      </w:r>
      <w:r w:rsidR="00E604BE">
        <w:rPr>
          <w:rFonts w:ascii="Arial" w:hAnsi="Arial" w:cs="Arial"/>
          <w:lang w:val="bg-BG"/>
        </w:rPr>
        <w:t>ща</w:t>
      </w:r>
      <w:r w:rsidR="00E604BE" w:rsidRPr="00E604BE">
        <w:rPr>
          <w:rFonts w:ascii="Arial" w:hAnsi="Arial" w:cs="Arial"/>
          <w:lang w:val="bg-BG"/>
        </w:rPr>
        <w:t xml:space="preserve"> области като: първична и специализирана медицинска помощ; профилактика на болестите; превенция и контрол на СПИН и полово предавани болести; околна среда и здраве; държавна лекарствена политика; епидемиологичен надзор на заразните и паразитните болести; нормативни актове в областта на здравеопазването; организация на медицинското осигуряване при извънредни ситуации.</w:t>
      </w:r>
    </w:p>
    <w:p w:rsidR="00404C1C" w:rsidRDefault="00404C1C" w:rsidP="00404C1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Pr="00404C1C">
        <w:rPr>
          <w:rStyle w:val="Heading2Char"/>
          <w:lang w:val="bg-BG"/>
        </w:rPr>
        <w:t>Споразумение за статистическо сътрудничество между Националния статистически институт на Република България и Националното статистическо бюро на Република Молдова</w:t>
      </w:r>
      <w:r w:rsidRPr="001F3D26">
        <w:rPr>
          <w:rStyle w:val="Heading2Char"/>
          <w:lang w:val="bg-BG"/>
        </w:rPr>
        <w:t xml:space="preserve">. </w:t>
      </w:r>
      <w:r w:rsidR="00E604BE" w:rsidRPr="00E604BE">
        <w:rPr>
          <w:rFonts w:ascii="Arial" w:hAnsi="Arial" w:cs="Arial"/>
          <w:lang w:val="bg-BG"/>
        </w:rPr>
        <w:t>Сътрудничество</w:t>
      </w:r>
      <w:r w:rsidR="00E604BE">
        <w:rPr>
          <w:rFonts w:ascii="Arial" w:hAnsi="Arial" w:cs="Arial"/>
          <w:lang w:val="bg-BG"/>
        </w:rPr>
        <w:t>то</w:t>
      </w:r>
      <w:r w:rsidR="00E604BE" w:rsidRPr="00E604BE">
        <w:rPr>
          <w:rFonts w:ascii="Arial" w:hAnsi="Arial" w:cs="Arial"/>
          <w:lang w:val="bg-BG"/>
        </w:rPr>
        <w:t xml:space="preserve"> ще се осъществява чрез обмен на публикации в областта на статистиката, обмен на добри практики, разработване на съвместни проекти в областта на статистическите изследвания, съвместни дейности по подготовка на преброяването на населението, съвместно участие в международни програми и проекти, както и обучения на експерти от различни области на статистиката.</w:t>
      </w:r>
    </w:p>
    <w:p w:rsidR="001F3D26" w:rsidRDefault="00B0133D" w:rsidP="00487B7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404C1C">
        <w:rPr>
          <w:rFonts w:ascii="Arial" w:hAnsi="Arial" w:cs="Arial"/>
          <w:lang w:val="bg-BG"/>
        </w:rPr>
        <w:t>и</w:t>
      </w:r>
      <w:r>
        <w:rPr>
          <w:rFonts w:ascii="Arial" w:hAnsi="Arial" w:cs="Arial"/>
          <w:lang w:val="bg-BG"/>
        </w:rPr>
        <w:t xml:space="preserve"> и допълнен</w:t>
      </w:r>
      <w:r w:rsidR="00404C1C">
        <w:rPr>
          <w:rFonts w:ascii="Arial" w:hAnsi="Arial" w:cs="Arial"/>
          <w:lang w:val="bg-BG"/>
        </w:rPr>
        <w:t>и</w:t>
      </w:r>
      <w:r w:rsidR="001D65C7">
        <w:rPr>
          <w:rFonts w:ascii="Arial" w:hAnsi="Arial" w:cs="Arial"/>
          <w:lang w:val="bg-BG"/>
        </w:rPr>
        <w:t xml:space="preserve"> </w:t>
      </w:r>
      <w:r w:rsidR="00404C1C">
        <w:rPr>
          <w:rFonts w:ascii="Arial" w:hAnsi="Arial" w:cs="Arial"/>
          <w:lang w:val="bg-BG"/>
        </w:rPr>
        <w:t>са</w:t>
      </w:r>
      <w:r w:rsidR="001D65C7" w:rsidRPr="008A42E1">
        <w:rPr>
          <w:rStyle w:val="Heading2Char"/>
          <w:lang w:val="bg-BG"/>
        </w:rPr>
        <w:t xml:space="preserve"> </w:t>
      </w:r>
      <w:r w:rsidR="00404C1C" w:rsidRPr="00404C1C">
        <w:rPr>
          <w:rStyle w:val="Heading2Char"/>
          <w:lang w:val="bg-BG"/>
        </w:rPr>
        <w:t>Правилата за осъществяване на електронни съобщения чрез радиосъоръжения, които ползват радиочестотен спектър, който не е необходимо да бъде индивидуално определен</w:t>
      </w:r>
      <w:r w:rsidR="001F3D26" w:rsidRPr="001F3D26">
        <w:rPr>
          <w:rStyle w:val="Heading2Char"/>
          <w:lang w:val="bg-BG"/>
        </w:rPr>
        <w:t xml:space="preserve">. </w:t>
      </w:r>
      <w:r w:rsidR="004E774A">
        <w:rPr>
          <w:rFonts w:ascii="Arial" w:hAnsi="Arial" w:cs="Arial"/>
          <w:lang w:val="bg-BG"/>
        </w:rPr>
        <w:t xml:space="preserve">Чрез промените правилата се привеждат в съответствие с </w:t>
      </w:r>
      <w:r w:rsidR="004E774A" w:rsidRPr="004E774A">
        <w:rPr>
          <w:rFonts w:ascii="Arial" w:hAnsi="Arial" w:cs="Arial"/>
          <w:lang w:val="bg-BG"/>
        </w:rPr>
        <w:t>Решение за изпълнение (ЕС) 2018/1538 на Европейската комисия от 11 октомври 2018 г. относно хармонизиране на радиочестотния спектър за използване от устройства с малък обсег на действие в честотните ленти 874-876 MHz и 915-921 MHz (ОВ, L 257/57 от 15 октомври 2018 г.).</w:t>
      </w:r>
      <w:r w:rsidR="00FE4E34">
        <w:rPr>
          <w:rFonts w:ascii="Arial" w:hAnsi="Arial" w:cs="Arial"/>
          <w:lang w:val="bg-BG"/>
        </w:rPr>
        <w:t xml:space="preserve"> </w:t>
      </w:r>
      <w:r w:rsidR="003022F2">
        <w:rPr>
          <w:rFonts w:ascii="Arial" w:hAnsi="Arial" w:cs="Arial"/>
          <w:lang w:val="bg-BG"/>
        </w:rPr>
        <w:t xml:space="preserve">Разписват се легални дефиниции на понятията </w:t>
      </w:r>
      <w:r w:rsidR="003022F2" w:rsidRPr="003022F2">
        <w:rPr>
          <w:rFonts w:ascii="Arial" w:hAnsi="Arial" w:cs="Arial"/>
          <w:lang w:val="bg-BG"/>
        </w:rPr>
        <w:t>"устройство с малък обсег на действие"</w:t>
      </w:r>
      <w:r w:rsidR="003022F2">
        <w:rPr>
          <w:rFonts w:ascii="Arial" w:hAnsi="Arial" w:cs="Arial"/>
          <w:lang w:val="bg-BG"/>
        </w:rPr>
        <w:t xml:space="preserve"> и</w:t>
      </w:r>
      <w:r w:rsidR="003022F2" w:rsidRPr="003022F2">
        <w:rPr>
          <w:rFonts w:ascii="Arial" w:hAnsi="Arial" w:cs="Arial"/>
          <w:lang w:val="bg-BG"/>
        </w:rPr>
        <w:t xml:space="preserve"> "мрежово устройство с малък обсег на действие"</w:t>
      </w:r>
      <w:r w:rsidR="003022F2">
        <w:rPr>
          <w:rFonts w:ascii="Arial" w:hAnsi="Arial" w:cs="Arial"/>
          <w:lang w:val="bg-BG"/>
        </w:rPr>
        <w:t>.</w:t>
      </w:r>
    </w:p>
    <w:p w:rsidR="003022F2" w:rsidRDefault="003022F2" w:rsidP="00487B7D">
      <w:pPr>
        <w:spacing w:after="240" w:line="360" w:lineRule="auto"/>
        <w:jc w:val="both"/>
        <w:rPr>
          <w:rFonts w:ascii="Arial" w:hAnsi="Arial" w:cs="Arial"/>
          <w:lang w:val="bg-BG"/>
        </w:rPr>
      </w:pP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E24F65" w:rsidRPr="00C456A7" w:rsidTr="00295919">
        <w:trPr>
          <w:trHeight w:val="226"/>
          <w:jc w:val="center"/>
        </w:trPr>
        <w:tc>
          <w:tcPr>
            <w:tcW w:w="2830" w:type="dxa"/>
          </w:tcPr>
          <w:p w:rsidR="00E24F65" w:rsidRPr="003E6A94" w:rsidRDefault="00F1585D" w:rsidP="00E24F65">
            <w:pPr>
              <w:jc w:val="center"/>
              <w:rPr>
                <w:rFonts w:ascii="Arial" w:hAnsi="Arial" w:cs="Arial"/>
                <w:lang w:val="bg-BG"/>
              </w:rPr>
            </w:pPr>
            <w:r w:rsidRPr="00F1585D"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030B4E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EA07F1" w:rsidRPr="00EA07F1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Наказателния кодекс</w:t>
            </w:r>
          </w:p>
          <w:p w:rsidR="003022F2" w:rsidRPr="003E6A94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3022F2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защита от вредното въздействие на химичните вещества и смеси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3022F2" w:rsidP="003022F2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3022F2" w:rsidRPr="003022F2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- Постановление № 26 от 13 февруари 2019 г. за изменение и допълнение на Правилника за прилагане на Закона за развитието на академичния състав в Република България, приет с Постановление № 202 на Министерския съвет от 2010 г.</w:t>
            </w:r>
          </w:p>
          <w:p w:rsidR="003022F2" w:rsidRPr="003022F2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- Постановление № 27 от 14 февруари 2019 г. за изменение на Националните счетоводни стандарти, приети с Постановление № 46 на Министерския съвет от 2005 г.</w:t>
            </w:r>
          </w:p>
          <w:p w:rsidR="003022F2" w:rsidRPr="003022F2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- Постановление № 28 от 14 февруари 2019 г. за изменение на Постановление № 155 на Министерския съвет от 2015 г. за определяне на второстепенните разпоредители по бюджета на Министерството на правосъдието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E24F65" w:rsidRPr="00E24F65" w:rsidTr="00295919">
        <w:trPr>
          <w:trHeight w:val="226"/>
          <w:jc w:val="center"/>
        </w:trPr>
        <w:tc>
          <w:tcPr>
            <w:tcW w:w="2830" w:type="dxa"/>
          </w:tcPr>
          <w:p w:rsidR="00E24F65" w:rsidRPr="00E24F65" w:rsidRDefault="006D541F" w:rsidP="00E24F65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D541F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EA07F1" w:rsidRPr="00EA07F1">
              <w:rPr>
                <w:rFonts w:ascii="Arial" w:hAnsi="Arial" w:cs="Arial"/>
                <w:sz w:val="24"/>
                <w:lang w:val="bg-BG"/>
              </w:rPr>
              <w:t>образованието и науката</w:t>
            </w:r>
          </w:p>
        </w:tc>
        <w:tc>
          <w:tcPr>
            <w:tcW w:w="6072" w:type="dxa"/>
          </w:tcPr>
          <w:p w:rsidR="00EA07F1" w:rsidRDefault="00EA07F1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EA07F1">
              <w:rPr>
                <w:rFonts w:ascii="Arial" w:hAnsi="Arial" w:cs="Arial"/>
                <w:sz w:val="24"/>
                <w:lang w:val="bg-BG"/>
              </w:rPr>
              <w:t xml:space="preserve">Наредба № 3 от 4 февруари 2019 г. за придобиване на квалификация по професията "Посредник на трудовата борса" </w:t>
            </w:r>
          </w:p>
          <w:p w:rsidR="003022F2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3022F2">
              <w:rPr>
                <w:rFonts w:ascii="Arial" w:hAnsi="Arial" w:cs="Arial"/>
                <w:sz w:val="24"/>
                <w:lang w:val="bg-BG"/>
              </w:rPr>
              <w:t>Наредба № 5 от 4 февруари 2019 г. за придобиване на квалификация по професията "Готвач"</w:t>
            </w:r>
          </w:p>
          <w:p w:rsidR="00E24F65" w:rsidRPr="00E24F65" w:rsidRDefault="00EA07F1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EA07F1">
              <w:rPr>
                <w:rFonts w:ascii="Arial" w:hAnsi="Arial" w:cs="Arial"/>
                <w:sz w:val="24"/>
                <w:lang w:val="bg-BG"/>
              </w:rPr>
              <w:t>Наредба № 11 от 8 февруари 2019 г. за придобиване на квалификация по професията "Военнослужещ - санитарен инструктор"</w:t>
            </w:r>
          </w:p>
        </w:tc>
        <w:tc>
          <w:tcPr>
            <w:tcW w:w="1864" w:type="dxa"/>
          </w:tcPr>
          <w:p w:rsidR="00E24F65" w:rsidRPr="00F468CD" w:rsidRDefault="00E24F65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EA07F1" w:rsidRPr="00EA07F1" w:rsidTr="00295919">
        <w:trPr>
          <w:trHeight w:val="226"/>
          <w:jc w:val="center"/>
        </w:trPr>
        <w:tc>
          <w:tcPr>
            <w:tcW w:w="2830" w:type="dxa"/>
          </w:tcPr>
          <w:p w:rsidR="00EA07F1" w:rsidRPr="00EA07F1" w:rsidRDefault="003022F2" w:rsidP="00E24F65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lastRenderedPageBreak/>
              <w:t>Висш съдебен съвет</w:t>
            </w:r>
          </w:p>
        </w:tc>
        <w:tc>
          <w:tcPr>
            <w:tcW w:w="6072" w:type="dxa"/>
          </w:tcPr>
          <w:p w:rsidR="00EA07F1" w:rsidRPr="00EA07F1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Правилник за организацията на дейността на Висшия съдебен съвет и на неговата администрация</w:t>
            </w:r>
          </w:p>
        </w:tc>
        <w:tc>
          <w:tcPr>
            <w:tcW w:w="1864" w:type="dxa"/>
          </w:tcPr>
          <w:p w:rsidR="00EA07F1" w:rsidRPr="00F468CD" w:rsidRDefault="00EA07F1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022F2" w:rsidRPr="003022F2" w:rsidTr="00295919">
        <w:trPr>
          <w:trHeight w:val="226"/>
          <w:jc w:val="center"/>
        </w:trPr>
        <w:tc>
          <w:tcPr>
            <w:tcW w:w="2830" w:type="dxa"/>
          </w:tcPr>
          <w:p w:rsidR="003022F2" w:rsidRPr="003022F2" w:rsidRDefault="003022F2" w:rsidP="00E24F65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bookmarkStart w:id="0" w:name="_GoBack" w:colFirst="0" w:colLast="1"/>
            <w:r w:rsidRPr="003022F2">
              <w:rPr>
                <w:rFonts w:ascii="Arial" w:hAnsi="Arial" w:cs="Arial"/>
                <w:sz w:val="24"/>
                <w:lang w:val="bg-BG"/>
              </w:rPr>
              <w:t>Върховен административен съд</w:t>
            </w:r>
          </w:p>
        </w:tc>
        <w:tc>
          <w:tcPr>
            <w:tcW w:w="6072" w:type="dxa"/>
          </w:tcPr>
          <w:p w:rsidR="003022F2" w:rsidRPr="003022F2" w:rsidRDefault="003022F2" w:rsidP="00E24F65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3022F2">
              <w:rPr>
                <w:rFonts w:ascii="Arial" w:hAnsi="Arial" w:cs="Arial"/>
                <w:sz w:val="24"/>
                <w:lang w:val="bg-BG"/>
              </w:rPr>
              <w:t>Решение № 1944 от 12 февруари 2019 г. по административно дело № 7087 от 2018 г.</w:t>
            </w:r>
          </w:p>
        </w:tc>
        <w:tc>
          <w:tcPr>
            <w:tcW w:w="1864" w:type="dxa"/>
          </w:tcPr>
          <w:p w:rsidR="003022F2" w:rsidRPr="00F468CD" w:rsidRDefault="003022F2" w:rsidP="00E24F65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bookmarkEnd w:id="0"/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5E5A4A" w:rsidRPr="006A5456" w:rsidRDefault="00483F3E" w:rsidP="005E5A4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15</w:t>
      </w:r>
      <w:r w:rsidR="005E5A4A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февруари</w:t>
      </w:r>
    </w:p>
    <w:p w:rsidR="005E5A4A" w:rsidRPr="001458BD" w:rsidRDefault="00483F3E" w:rsidP="005E5A4A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Международен ден на скаутит</w:t>
      </w:r>
      <w:r>
        <w:rPr>
          <w:rFonts w:ascii="Arial" w:hAnsi="Arial" w:cs="Arial"/>
          <w:b/>
          <w:color w:val="FF0000"/>
          <w:lang w:val="bg-BG"/>
        </w:rPr>
        <w:t>е</w:t>
      </w:r>
    </w:p>
    <w:p w:rsidR="00F1585D" w:rsidRPr="006A5456" w:rsidRDefault="00F1585D" w:rsidP="00F1585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483F3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февруари</w:t>
      </w:r>
    </w:p>
    <w:p w:rsidR="00F1585D" w:rsidRPr="009624D4" w:rsidRDefault="00483F3E" w:rsidP="009624D4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i/>
          <w:color w:val="2E74B5" w:themeColor="accent1" w:themeShade="BF"/>
          <w:sz w:val="28"/>
          <w:szCs w:val="28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Международен ден на пощальоните и куриерите</w:t>
      </w:r>
    </w:p>
    <w:p w:rsidR="00F1585D" w:rsidRPr="006A5456" w:rsidRDefault="00030B4E" w:rsidP="00F1585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483F3E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9</w:t>
      </w:r>
      <w:r w:rsidR="00F1585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F1585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февруари</w:t>
      </w:r>
    </w:p>
    <w:p w:rsidR="00F1585D" w:rsidRDefault="00483F3E" w:rsidP="00F1585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Световен ден за защита на китовете</w:t>
      </w:r>
      <w:r w:rsidR="00030B4E" w:rsidRPr="00030B4E">
        <w:rPr>
          <w:rFonts w:ascii="Arial" w:hAnsi="Arial" w:cs="Arial"/>
          <w:b/>
          <w:color w:val="FF0000"/>
          <w:lang w:val="bg-BG"/>
        </w:rPr>
        <w:t xml:space="preserve"> </w:t>
      </w:r>
    </w:p>
    <w:p w:rsidR="00AF3BC4" w:rsidRPr="006A5456" w:rsidRDefault="00483F3E" w:rsidP="00F1585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20</w:t>
      </w:r>
      <w:r w:rsidR="00AF3BC4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F1585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февруари</w:t>
      </w:r>
    </w:p>
    <w:p w:rsidR="00030B4E" w:rsidRPr="00030B4E" w:rsidRDefault="00483F3E" w:rsidP="00F1585D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Световен ден на социална справедливост</w:t>
      </w:r>
    </w:p>
    <w:p w:rsidR="00616A3F" w:rsidRPr="006A5456" w:rsidRDefault="00483F3E" w:rsidP="00616A3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21</w:t>
      </w:r>
      <w:r w:rsidR="00616A3F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F1585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февруари</w:t>
      </w:r>
    </w:p>
    <w:p w:rsidR="00483F3E" w:rsidRDefault="00483F3E" w:rsidP="00483F3E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Международен ден на майчиния език</w:t>
      </w:r>
    </w:p>
    <w:p w:rsidR="00F1585D" w:rsidRPr="00483F3E" w:rsidRDefault="00483F3E" w:rsidP="00483F3E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483F3E">
        <w:rPr>
          <w:rFonts w:ascii="Arial" w:hAnsi="Arial" w:cs="Arial"/>
          <w:b/>
          <w:color w:val="FF0000"/>
          <w:lang w:val="bg-BG"/>
        </w:rPr>
        <w:t>Преп. Тимотей. Св. Евстатий, архиеп. Антиохийски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483F3E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483F3E">
        <w:rPr>
          <w:rFonts w:ascii="Arial" w:hAnsi="Arial" w:cs="Arial"/>
          <w:b/>
          <w:i/>
          <w:color w:val="FF0000"/>
          <w:lang w:val="bg-BG"/>
        </w:rPr>
        <w:t>Евстати, Евстатий, Евстатия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E1432" w:rsidRPr="00AE1432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E1432">
        <w:rPr>
          <w:rFonts w:ascii="Arial" w:hAnsi="Arial" w:cs="Arial"/>
          <w:lang w:val="bg-BG"/>
        </w:rPr>
        <w:t>Къде е разликата между адвоката и лъжеца?</w:t>
      </w:r>
    </w:p>
    <w:p w:rsidR="002A26C7" w:rsidRDefault="00AE1432" w:rsidP="00AE1432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E1432">
        <w:rPr>
          <w:rFonts w:ascii="Arial" w:hAnsi="Arial" w:cs="Arial"/>
          <w:lang w:val="bg-BG"/>
        </w:rPr>
        <w:t>В произношението.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0EE"/>
    <w:rsid w:val="00002761"/>
    <w:rsid w:val="000034A0"/>
    <w:rsid w:val="0000579C"/>
    <w:rsid w:val="00005BAC"/>
    <w:rsid w:val="00006548"/>
    <w:rsid w:val="00007DBE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0B4E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091E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E7BD5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6AEF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3DC"/>
    <w:rsid w:val="001458BD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158D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3109"/>
    <w:rsid w:val="001A534C"/>
    <w:rsid w:val="001A6C6B"/>
    <w:rsid w:val="001A73BE"/>
    <w:rsid w:val="001A7B73"/>
    <w:rsid w:val="001B0654"/>
    <w:rsid w:val="001B0D3D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4B33"/>
    <w:rsid w:val="001D65C7"/>
    <w:rsid w:val="001D68A2"/>
    <w:rsid w:val="001E4977"/>
    <w:rsid w:val="001E5C9A"/>
    <w:rsid w:val="001E5F4A"/>
    <w:rsid w:val="001F0232"/>
    <w:rsid w:val="001F0A90"/>
    <w:rsid w:val="001F1FF3"/>
    <w:rsid w:val="001F3D26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0C50"/>
    <w:rsid w:val="002214AC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3D92"/>
    <w:rsid w:val="002441D9"/>
    <w:rsid w:val="00244617"/>
    <w:rsid w:val="00244BD7"/>
    <w:rsid w:val="002452AF"/>
    <w:rsid w:val="0024546E"/>
    <w:rsid w:val="002459D1"/>
    <w:rsid w:val="00247774"/>
    <w:rsid w:val="002511D8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5823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55EA"/>
    <w:rsid w:val="002F71F8"/>
    <w:rsid w:val="002F7699"/>
    <w:rsid w:val="003003CF"/>
    <w:rsid w:val="0030166F"/>
    <w:rsid w:val="003017F8"/>
    <w:rsid w:val="00302226"/>
    <w:rsid w:val="003022F2"/>
    <w:rsid w:val="00302A80"/>
    <w:rsid w:val="00302BC4"/>
    <w:rsid w:val="00303EE1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1EC4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06A"/>
    <w:rsid w:val="003A2C00"/>
    <w:rsid w:val="003A40F7"/>
    <w:rsid w:val="003A42FB"/>
    <w:rsid w:val="003A4C77"/>
    <w:rsid w:val="003A4F02"/>
    <w:rsid w:val="003A68D1"/>
    <w:rsid w:val="003A7B52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20F4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C1C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1AF7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206B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0BD2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3F3E"/>
    <w:rsid w:val="00484B21"/>
    <w:rsid w:val="00486C5B"/>
    <w:rsid w:val="00487B7D"/>
    <w:rsid w:val="0049034A"/>
    <w:rsid w:val="004910C1"/>
    <w:rsid w:val="00491106"/>
    <w:rsid w:val="004913E6"/>
    <w:rsid w:val="00491E44"/>
    <w:rsid w:val="00492BED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5499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4A"/>
    <w:rsid w:val="004E779F"/>
    <w:rsid w:val="004E7B72"/>
    <w:rsid w:val="004E7D1B"/>
    <w:rsid w:val="004F1A99"/>
    <w:rsid w:val="004F1DDA"/>
    <w:rsid w:val="004F2D7A"/>
    <w:rsid w:val="004F2F6A"/>
    <w:rsid w:val="004F611D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2CB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7D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38D"/>
    <w:rsid w:val="00587922"/>
    <w:rsid w:val="00587DE2"/>
    <w:rsid w:val="00590368"/>
    <w:rsid w:val="0059290A"/>
    <w:rsid w:val="00592DD0"/>
    <w:rsid w:val="005937A2"/>
    <w:rsid w:val="005942D3"/>
    <w:rsid w:val="00594480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5A4A"/>
    <w:rsid w:val="005E68E6"/>
    <w:rsid w:val="005E6E71"/>
    <w:rsid w:val="005E7F6D"/>
    <w:rsid w:val="005F090E"/>
    <w:rsid w:val="005F0EEA"/>
    <w:rsid w:val="005F230B"/>
    <w:rsid w:val="005F43F8"/>
    <w:rsid w:val="005F5E68"/>
    <w:rsid w:val="005F7275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24D"/>
    <w:rsid w:val="006A5456"/>
    <w:rsid w:val="006A5908"/>
    <w:rsid w:val="006A6270"/>
    <w:rsid w:val="006A637B"/>
    <w:rsid w:val="006A7C01"/>
    <w:rsid w:val="006B0770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541F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E7AF5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31EA"/>
    <w:rsid w:val="0070707C"/>
    <w:rsid w:val="00712546"/>
    <w:rsid w:val="00714A20"/>
    <w:rsid w:val="007152C2"/>
    <w:rsid w:val="00717CEF"/>
    <w:rsid w:val="007202AB"/>
    <w:rsid w:val="00720726"/>
    <w:rsid w:val="00722BB2"/>
    <w:rsid w:val="007239E1"/>
    <w:rsid w:val="00723A7F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2DF"/>
    <w:rsid w:val="00776346"/>
    <w:rsid w:val="00776A16"/>
    <w:rsid w:val="00781307"/>
    <w:rsid w:val="007818B2"/>
    <w:rsid w:val="007827A7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0DD9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47F6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1906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07F4D"/>
    <w:rsid w:val="009154F2"/>
    <w:rsid w:val="009157D1"/>
    <w:rsid w:val="0091596F"/>
    <w:rsid w:val="00916B9E"/>
    <w:rsid w:val="00917145"/>
    <w:rsid w:val="00917173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2C40"/>
    <w:rsid w:val="00956875"/>
    <w:rsid w:val="00961490"/>
    <w:rsid w:val="0096193E"/>
    <w:rsid w:val="009624D4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07D7"/>
    <w:rsid w:val="00991874"/>
    <w:rsid w:val="009965DC"/>
    <w:rsid w:val="0099668D"/>
    <w:rsid w:val="009973CA"/>
    <w:rsid w:val="009A151E"/>
    <w:rsid w:val="009A19A4"/>
    <w:rsid w:val="009A3150"/>
    <w:rsid w:val="009A319D"/>
    <w:rsid w:val="009A3A05"/>
    <w:rsid w:val="009A4330"/>
    <w:rsid w:val="009A7760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2F35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6767"/>
    <w:rsid w:val="009D72B5"/>
    <w:rsid w:val="009D7C2D"/>
    <w:rsid w:val="009E0889"/>
    <w:rsid w:val="009E14FE"/>
    <w:rsid w:val="009E16D8"/>
    <w:rsid w:val="009E1A18"/>
    <w:rsid w:val="009E366E"/>
    <w:rsid w:val="009E42AD"/>
    <w:rsid w:val="009E542C"/>
    <w:rsid w:val="009E56F4"/>
    <w:rsid w:val="009E57B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683B"/>
    <w:rsid w:val="00A47169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67D6"/>
    <w:rsid w:val="00A671E2"/>
    <w:rsid w:val="00A70368"/>
    <w:rsid w:val="00A7188B"/>
    <w:rsid w:val="00A71994"/>
    <w:rsid w:val="00A71BA1"/>
    <w:rsid w:val="00A72C55"/>
    <w:rsid w:val="00A72D5D"/>
    <w:rsid w:val="00A752CD"/>
    <w:rsid w:val="00A76FF0"/>
    <w:rsid w:val="00A774F0"/>
    <w:rsid w:val="00A8134B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608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939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0F94"/>
    <w:rsid w:val="00AD2062"/>
    <w:rsid w:val="00AD2A47"/>
    <w:rsid w:val="00AD2E50"/>
    <w:rsid w:val="00AD3454"/>
    <w:rsid w:val="00AD5168"/>
    <w:rsid w:val="00AE0411"/>
    <w:rsid w:val="00AE1432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BC4"/>
    <w:rsid w:val="00AF3D5D"/>
    <w:rsid w:val="00AF4122"/>
    <w:rsid w:val="00AF5443"/>
    <w:rsid w:val="00AF568B"/>
    <w:rsid w:val="00AF6EAD"/>
    <w:rsid w:val="00AF7526"/>
    <w:rsid w:val="00B01163"/>
    <w:rsid w:val="00B01165"/>
    <w:rsid w:val="00B0133D"/>
    <w:rsid w:val="00B01B65"/>
    <w:rsid w:val="00B03B42"/>
    <w:rsid w:val="00B03D6B"/>
    <w:rsid w:val="00B03FE4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5B7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362A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1A"/>
    <w:rsid w:val="00B8318D"/>
    <w:rsid w:val="00B855F7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43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17B03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4C34"/>
    <w:rsid w:val="00C358E3"/>
    <w:rsid w:val="00C35D39"/>
    <w:rsid w:val="00C3774C"/>
    <w:rsid w:val="00C37803"/>
    <w:rsid w:val="00C40E2B"/>
    <w:rsid w:val="00C4135D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0B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1F59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2777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57E6A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A6E45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6E18"/>
    <w:rsid w:val="00E07D5F"/>
    <w:rsid w:val="00E20754"/>
    <w:rsid w:val="00E22C6E"/>
    <w:rsid w:val="00E23D93"/>
    <w:rsid w:val="00E240DD"/>
    <w:rsid w:val="00E24F65"/>
    <w:rsid w:val="00E25B50"/>
    <w:rsid w:val="00E265B4"/>
    <w:rsid w:val="00E26A0E"/>
    <w:rsid w:val="00E27228"/>
    <w:rsid w:val="00E274CC"/>
    <w:rsid w:val="00E27B83"/>
    <w:rsid w:val="00E30E42"/>
    <w:rsid w:val="00E31845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2E3A"/>
    <w:rsid w:val="00E56A42"/>
    <w:rsid w:val="00E604BE"/>
    <w:rsid w:val="00E62860"/>
    <w:rsid w:val="00E6320B"/>
    <w:rsid w:val="00E63F39"/>
    <w:rsid w:val="00E6477D"/>
    <w:rsid w:val="00E66D8B"/>
    <w:rsid w:val="00E67C47"/>
    <w:rsid w:val="00E72347"/>
    <w:rsid w:val="00E740C1"/>
    <w:rsid w:val="00E741FC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07F1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5C5F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585D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2DFB"/>
    <w:rsid w:val="00F53EE6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637F"/>
    <w:rsid w:val="00F9729F"/>
    <w:rsid w:val="00FA16DE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4E34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3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4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0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6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19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3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6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0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73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399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105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0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1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3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2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959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41597544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75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769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1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8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16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48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8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19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7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47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69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5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2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5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7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76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4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6</Pages>
  <Words>1490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79</cp:revision>
  <cp:lastPrinted>2016-07-29T11:13:00Z</cp:lastPrinted>
  <dcterms:created xsi:type="dcterms:W3CDTF">2018-11-29T12:05:00Z</dcterms:created>
  <dcterms:modified xsi:type="dcterms:W3CDTF">2019-02-15T06:44:00Z</dcterms:modified>
</cp:coreProperties>
</file>